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46A7" w14:textId="0E1FD747" w:rsidR="00DA7C87" w:rsidRPr="00C155AD" w:rsidRDefault="00DA7C87" w:rsidP="00DA7C87">
      <w:pPr>
        <w:pStyle w:val="Heading1"/>
        <w:suppressLineNumbers/>
        <w:jc w:val="left"/>
        <w:rPr>
          <w:rFonts w:ascii="Century Gothic" w:hAnsi="Century Gothic"/>
        </w:rPr>
      </w:pPr>
      <w:bookmarkStart w:id="0" w:name="_Toc519749126"/>
      <w:r w:rsidRPr="00C155AD">
        <w:rPr>
          <w:rFonts w:ascii="Century Gothic" w:hAnsi="Century Gothic"/>
        </w:rPr>
        <w:t xml:space="preserve">APPENDIX </w:t>
      </w:r>
      <w:r>
        <w:rPr>
          <w:rFonts w:ascii="Century Gothic" w:hAnsi="Century Gothic"/>
        </w:rPr>
        <w:t>D</w:t>
      </w:r>
      <w:bookmarkStart w:id="1" w:name="_GoBack"/>
      <w:bookmarkEnd w:id="1"/>
      <w:r w:rsidRPr="00C155AD">
        <w:rPr>
          <w:rFonts w:ascii="Century Gothic" w:hAnsi="Century Gothic"/>
        </w:rPr>
        <w:t>.</w:t>
      </w:r>
      <w:bookmarkEnd w:id="0"/>
    </w:p>
    <w:p w14:paraId="7E94A1AC" w14:textId="77777777" w:rsidR="00BC35DD" w:rsidRPr="003C5DB2" w:rsidRDefault="00BC35DD" w:rsidP="00BC35DD"/>
    <w:p w14:paraId="2B7B1554" w14:textId="77777777" w:rsidR="00BC35DD" w:rsidRPr="00993668" w:rsidRDefault="00BC35DD" w:rsidP="00BC35DD">
      <w:pPr>
        <w:ind w:left="360"/>
        <w:jc w:val="center"/>
        <w:rPr>
          <w:rFonts w:ascii="Copperplate Gothic Bold" w:hAnsi="Copperplate Gothic Bold"/>
          <w:i/>
          <w:sz w:val="28"/>
          <w:szCs w:val="28"/>
        </w:rPr>
      </w:pPr>
      <w:r w:rsidRPr="00993668">
        <w:rPr>
          <w:rFonts w:ascii="Copperplate Gothic Bold" w:hAnsi="Copperplate Gothic Bold"/>
          <w:i/>
          <w:sz w:val="28"/>
          <w:szCs w:val="28"/>
        </w:rPr>
        <w:t>Evaluation Process &amp; Documents</w:t>
      </w:r>
    </w:p>
    <w:p w14:paraId="3595A787" w14:textId="77777777" w:rsidR="00993668" w:rsidRDefault="00993668" w:rsidP="00993668">
      <w:pPr>
        <w:rPr>
          <w:rFonts w:ascii="Copperplate Gothic Bold" w:hAnsi="Copperplate Gothic Bold"/>
          <w:i/>
          <w:sz w:val="22"/>
          <w:szCs w:val="22"/>
        </w:rPr>
      </w:pPr>
    </w:p>
    <w:p w14:paraId="270B3D89" w14:textId="77777777" w:rsidR="00BC35DD" w:rsidRPr="00D75FDA" w:rsidRDefault="00BC35DD" w:rsidP="00BC35DD">
      <w:pPr>
        <w:ind w:left="360"/>
        <w:jc w:val="center"/>
        <w:rPr>
          <w:rFonts w:ascii="Copperplate Gothic Bold" w:hAnsi="Copperplate Gothic Bold"/>
          <w:i/>
        </w:rPr>
      </w:pPr>
    </w:p>
    <w:tbl>
      <w:tblPr>
        <w:tblW w:w="105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830"/>
      </w:tblGrid>
      <w:tr w:rsidR="00BC35DD" w:rsidRPr="009107B6" w14:paraId="05A21EA8" w14:textId="77777777" w:rsidTr="004C45FA">
        <w:trPr>
          <w:trHeight w:val="180"/>
        </w:trPr>
        <w:tc>
          <w:tcPr>
            <w:tcW w:w="2700" w:type="dxa"/>
            <w:shd w:val="clear" w:color="auto" w:fill="009999"/>
          </w:tcPr>
          <w:p w14:paraId="2BEE1122" w14:textId="77777777" w:rsidR="00BC35DD" w:rsidRDefault="00BC35DD" w:rsidP="003315CB">
            <w:pPr>
              <w:rPr>
                <w:b/>
                <w:color w:val="FFFFFF" w:themeColor="background1"/>
                <w:sz w:val="22"/>
                <w:szCs w:val="22"/>
              </w:rPr>
            </w:pPr>
            <w:r>
              <w:rPr>
                <w:b/>
                <w:color w:val="FFFFFF" w:themeColor="background1"/>
                <w:sz w:val="22"/>
                <w:szCs w:val="22"/>
              </w:rPr>
              <w:t>STEPS</w:t>
            </w:r>
          </w:p>
        </w:tc>
        <w:tc>
          <w:tcPr>
            <w:tcW w:w="7830" w:type="dxa"/>
            <w:shd w:val="clear" w:color="auto" w:fill="009999"/>
          </w:tcPr>
          <w:p w14:paraId="6714021E" w14:textId="77777777" w:rsidR="00BC35DD" w:rsidRPr="00C07E2D" w:rsidRDefault="00BC35DD" w:rsidP="003315CB">
            <w:pPr>
              <w:rPr>
                <w:b/>
                <w:color w:val="FFFFFF" w:themeColor="background1"/>
                <w:sz w:val="22"/>
                <w:szCs w:val="22"/>
              </w:rPr>
            </w:pPr>
          </w:p>
        </w:tc>
      </w:tr>
      <w:tr w:rsidR="00BC35DD" w:rsidRPr="009107B6" w14:paraId="4B23A840" w14:textId="77777777" w:rsidTr="004C45FA">
        <w:trPr>
          <w:trHeight w:val="180"/>
        </w:trPr>
        <w:tc>
          <w:tcPr>
            <w:tcW w:w="2700" w:type="dxa"/>
          </w:tcPr>
          <w:p w14:paraId="377EB9C5" w14:textId="77777777" w:rsidR="00BC35DD" w:rsidRPr="004D10F6" w:rsidRDefault="00BC35DD" w:rsidP="003315CB">
            <w:pPr>
              <w:rPr>
                <w:b/>
                <w:color w:val="FF0000"/>
                <w:szCs w:val="22"/>
              </w:rPr>
            </w:pPr>
          </w:p>
        </w:tc>
        <w:tc>
          <w:tcPr>
            <w:tcW w:w="7830" w:type="dxa"/>
          </w:tcPr>
          <w:p w14:paraId="13A990E3" w14:textId="77777777" w:rsidR="00BC35DD" w:rsidRPr="00BC35DD" w:rsidRDefault="00BC35DD" w:rsidP="003315CB">
            <w:pPr>
              <w:pStyle w:val="NoSpacing"/>
              <w:rPr>
                <w:rFonts w:ascii="Palatino Linotype" w:hAnsi="Palatino Linotype"/>
                <w:b/>
                <w:u w:val="single"/>
              </w:rPr>
            </w:pPr>
            <w:r w:rsidRPr="00BC35DD">
              <w:rPr>
                <w:rFonts w:ascii="Palatino Linotype" w:hAnsi="Palatino Linotype"/>
                <w:b/>
                <w:u w:val="single"/>
              </w:rPr>
              <w:t xml:space="preserve">Review CEL 5D+ Teacher Evaluation Rubric </w:t>
            </w:r>
            <w:r w:rsidRPr="007578BD">
              <w:rPr>
                <w:rFonts w:ascii="Palatino Linotype" w:hAnsi="Palatino Linotype"/>
                <w:b/>
                <w:u w:val="single"/>
              </w:rPr>
              <w:t>(Appendix C)</w:t>
            </w:r>
          </w:p>
          <w:p w14:paraId="6B281187"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This will be the foundational document for teachers evaluated on a Comprehensive or Focused evaluation.</w:t>
            </w:r>
          </w:p>
          <w:p w14:paraId="7B3569AA" w14:textId="77777777" w:rsidR="00BC35DD" w:rsidRPr="00A73508" w:rsidRDefault="00BC35DD" w:rsidP="00BC35DD">
            <w:pPr>
              <w:pStyle w:val="NoSpacing"/>
              <w:numPr>
                <w:ilvl w:val="0"/>
                <w:numId w:val="24"/>
              </w:numPr>
              <w:ind w:left="432"/>
            </w:pPr>
            <w:r w:rsidRPr="00BC35DD">
              <w:rPr>
                <w:rFonts w:ascii="Palatino Linotype" w:hAnsi="Palatino Linotype"/>
              </w:rPr>
              <w:t xml:space="preserve">The CEL 5D+ Teacher Evaluation Rubric contains teacher and student observables which will assist in identifying performance attributes applicable to each </w:t>
            </w:r>
            <w:proofErr w:type="gramStart"/>
            <w:r w:rsidRPr="00BC35DD">
              <w:rPr>
                <w:rFonts w:ascii="Palatino Linotype" w:hAnsi="Palatino Linotype"/>
              </w:rPr>
              <w:t>criteria</w:t>
            </w:r>
            <w:proofErr w:type="gramEnd"/>
            <w:r w:rsidRPr="00BC35DD">
              <w:rPr>
                <w:rFonts w:ascii="Palatino Linotype" w:hAnsi="Palatino Linotype"/>
              </w:rPr>
              <w:t>.</w:t>
            </w:r>
          </w:p>
        </w:tc>
      </w:tr>
      <w:tr w:rsidR="00B83C07" w:rsidRPr="00BC35DD" w14:paraId="06026C66" w14:textId="77777777" w:rsidTr="004C45FA">
        <w:trPr>
          <w:trHeight w:val="180"/>
        </w:trPr>
        <w:tc>
          <w:tcPr>
            <w:tcW w:w="2700" w:type="dxa"/>
          </w:tcPr>
          <w:p w14:paraId="784DAD23" w14:textId="3D66CCB3" w:rsidR="00B83C07" w:rsidRPr="004C45FA" w:rsidRDefault="00B83C07" w:rsidP="00B83C07">
            <w:pPr>
              <w:rPr>
                <w:rFonts w:ascii="Palatino Linotype" w:hAnsi="Palatino Linotype"/>
                <w:b/>
                <w:color w:val="FF0000"/>
                <w:sz w:val="22"/>
                <w:szCs w:val="22"/>
              </w:rPr>
            </w:pPr>
            <w:r w:rsidRPr="004C45FA">
              <w:rPr>
                <w:rFonts w:ascii="Palatino Linotype" w:hAnsi="Palatino Linotype"/>
                <w:b/>
                <w:color w:val="FF0000"/>
                <w:sz w:val="22"/>
                <w:szCs w:val="22"/>
              </w:rPr>
              <w:t>20</w:t>
            </w:r>
            <w:r w:rsidRPr="004C45FA">
              <w:rPr>
                <w:rFonts w:ascii="Palatino Linotype" w:hAnsi="Palatino Linotype"/>
                <w:b/>
                <w:color w:val="FF0000"/>
                <w:sz w:val="22"/>
                <w:szCs w:val="22"/>
                <w:vertAlign w:val="superscript"/>
              </w:rPr>
              <w:t>th</w:t>
            </w:r>
            <w:r w:rsidRPr="004C45FA">
              <w:rPr>
                <w:rFonts w:ascii="Palatino Linotype" w:hAnsi="Palatino Linotype"/>
                <w:b/>
                <w:color w:val="FF0000"/>
                <w:sz w:val="22"/>
                <w:szCs w:val="22"/>
              </w:rPr>
              <w:t xml:space="preserve"> day of school</w:t>
            </w:r>
          </w:p>
        </w:tc>
        <w:tc>
          <w:tcPr>
            <w:tcW w:w="7830" w:type="dxa"/>
          </w:tcPr>
          <w:p w14:paraId="2BC7C2B9" w14:textId="7197CC9E" w:rsidR="00B83C07" w:rsidRPr="00BC35DD" w:rsidRDefault="00B83C07" w:rsidP="00B83C07">
            <w:pPr>
              <w:pStyle w:val="NoSpacing"/>
              <w:rPr>
                <w:rFonts w:ascii="Palatino Linotype" w:hAnsi="Palatino Linotype"/>
                <w:b/>
                <w:u w:val="single"/>
              </w:rPr>
            </w:pPr>
            <w:r w:rsidRPr="00BC35DD">
              <w:rPr>
                <w:rFonts w:ascii="Palatino Linotype" w:hAnsi="Palatino Linotype"/>
                <w:b/>
                <w:u w:val="single"/>
              </w:rPr>
              <w:t xml:space="preserve">Evaluation Option Form </w:t>
            </w:r>
            <w:r w:rsidRPr="007578BD">
              <w:rPr>
                <w:rFonts w:ascii="Palatino Linotype" w:hAnsi="Palatino Linotype"/>
                <w:b/>
                <w:u w:val="single"/>
              </w:rPr>
              <w:t>(Appendix F)</w:t>
            </w:r>
          </w:p>
          <w:p w14:paraId="56F8131F" w14:textId="298608ED" w:rsidR="00B83C07" w:rsidRPr="00BC35DD" w:rsidRDefault="00B83C07" w:rsidP="00B83C07">
            <w:pPr>
              <w:pStyle w:val="NoSpacing"/>
              <w:rPr>
                <w:rFonts w:ascii="Palatino Linotype" w:hAnsi="Palatino Linotype"/>
                <w:b/>
                <w:u w:val="single"/>
              </w:rPr>
            </w:pPr>
            <w:r w:rsidRPr="00BC35DD">
              <w:rPr>
                <w:rFonts w:ascii="Palatino Linotype" w:hAnsi="Palatino Linotype"/>
              </w:rPr>
              <w:t>Classroom teachers will be notified by the 20th day of school whether the teacher will be evaluated using the Comprehensive or Focused evaluation process and who will be assigned as their evaluator.</w:t>
            </w:r>
          </w:p>
        </w:tc>
      </w:tr>
      <w:tr w:rsidR="00B83C07" w:rsidRPr="00BC35DD" w14:paraId="3CE2F468" w14:textId="77777777" w:rsidTr="004C45FA">
        <w:trPr>
          <w:trHeight w:val="180"/>
        </w:trPr>
        <w:tc>
          <w:tcPr>
            <w:tcW w:w="2700" w:type="dxa"/>
          </w:tcPr>
          <w:p w14:paraId="31FA8514" w14:textId="77777777" w:rsidR="00B83C07" w:rsidRPr="00BC35DD" w:rsidRDefault="00B83C07" w:rsidP="00B83C07">
            <w:pPr>
              <w:rPr>
                <w:rFonts w:ascii="Palatino Linotype" w:hAnsi="Palatino Linotype"/>
                <w:b/>
                <w:color w:val="FF0000"/>
                <w:szCs w:val="22"/>
              </w:rPr>
            </w:pPr>
          </w:p>
          <w:p w14:paraId="72D02455" w14:textId="77777777" w:rsidR="00B83C07" w:rsidRPr="00BC35DD" w:rsidRDefault="00B83C07" w:rsidP="00B83C07">
            <w:pPr>
              <w:rPr>
                <w:rFonts w:ascii="Palatino Linotype" w:hAnsi="Palatino Linotype"/>
                <w:b/>
                <w:color w:val="FF0000"/>
                <w:szCs w:val="22"/>
              </w:rPr>
            </w:pPr>
          </w:p>
          <w:p w14:paraId="360EC971" w14:textId="77777777" w:rsidR="00B83C07" w:rsidRPr="00BC35DD" w:rsidRDefault="00B83C07" w:rsidP="00B83C07">
            <w:pPr>
              <w:rPr>
                <w:rFonts w:ascii="Palatino Linotype" w:hAnsi="Palatino Linotype"/>
                <w:b/>
                <w:color w:val="FF0000"/>
                <w:szCs w:val="22"/>
              </w:rPr>
            </w:pPr>
            <w:r w:rsidRPr="004C45FA">
              <w:rPr>
                <w:rFonts w:ascii="Palatino Linotype" w:hAnsi="Palatino Linotype"/>
                <w:b/>
                <w:color w:val="FF0000"/>
                <w:sz w:val="22"/>
                <w:szCs w:val="22"/>
              </w:rPr>
              <w:t>Nov. 1st</w:t>
            </w:r>
            <w:r w:rsidRPr="00BC35DD">
              <w:rPr>
                <w:rFonts w:ascii="Palatino Linotype" w:hAnsi="Palatino Linotype"/>
                <w:b/>
                <w:color w:val="FF0000"/>
                <w:szCs w:val="22"/>
              </w:rPr>
              <w:t xml:space="preserve"> </w:t>
            </w:r>
          </w:p>
        </w:tc>
        <w:tc>
          <w:tcPr>
            <w:tcW w:w="7830" w:type="dxa"/>
          </w:tcPr>
          <w:p w14:paraId="7052B190" w14:textId="77777777" w:rsidR="00B83C07" w:rsidRPr="00BC35DD" w:rsidRDefault="00B83C07" w:rsidP="00B83C07">
            <w:pPr>
              <w:pStyle w:val="NoSpacing"/>
              <w:rPr>
                <w:rFonts w:ascii="Palatino Linotype" w:hAnsi="Palatino Linotype"/>
                <w:b/>
                <w:u w:val="single"/>
              </w:rPr>
            </w:pPr>
            <w:r w:rsidRPr="00BC35DD">
              <w:rPr>
                <w:rFonts w:ascii="Palatino Linotype" w:hAnsi="Palatino Linotype"/>
                <w:b/>
                <w:u w:val="single"/>
              </w:rPr>
              <w:t xml:space="preserve">Comprehensive Evaluation </w:t>
            </w:r>
            <w:r w:rsidRPr="007578BD">
              <w:rPr>
                <w:rFonts w:ascii="Palatino Linotype" w:hAnsi="Palatino Linotype"/>
                <w:b/>
                <w:u w:val="single"/>
              </w:rPr>
              <w:t>(Appendix E)</w:t>
            </w:r>
          </w:p>
          <w:p w14:paraId="2F72E663" w14:textId="080B3839" w:rsidR="00B83C07" w:rsidRPr="00BC35DD" w:rsidRDefault="00B83C07" w:rsidP="00B83C07">
            <w:pPr>
              <w:pStyle w:val="NoSpacing"/>
              <w:numPr>
                <w:ilvl w:val="0"/>
                <w:numId w:val="24"/>
              </w:numPr>
              <w:ind w:left="432"/>
              <w:rPr>
                <w:rFonts w:ascii="Palatino Linotype" w:eastAsiaTheme="minorEastAsia" w:hAnsi="Palatino Linotype"/>
              </w:rPr>
            </w:pPr>
            <w:r w:rsidRPr="00BC35DD">
              <w:rPr>
                <w:rFonts w:ascii="Palatino Linotype" w:hAnsi="Palatino Linotype"/>
              </w:rPr>
              <w:t xml:space="preserve">The Comprehensive evaluation is a growth-oriented, teacher/evaluator collaborative process that requires teachers </w:t>
            </w:r>
            <w:r w:rsidRPr="00BC35DD">
              <w:rPr>
                <w:rFonts w:ascii="Palatino Linotype" w:eastAsiaTheme="minorEastAsia" w:hAnsi="Palatino Linotype"/>
              </w:rPr>
              <w:t xml:space="preserve">to be evaluated on the eight (8) state criteria.  A teacher must complete a Comprehensive evaluation once every </w:t>
            </w:r>
            <w:r w:rsidR="007633CB" w:rsidRPr="007633CB">
              <w:rPr>
                <w:rFonts w:ascii="Palatino Linotype" w:eastAsiaTheme="minorEastAsia" w:hAnsi="Palatino Linotype"/>
              </w:rPr>
              <w:t>six (6)</w:t>
            </w:r>
            <w:r w:rsidRPr="00BC35DD">
              <w:rPr>
                <w:rFonts w:ascii="Palatino Linotype" w:eastAsiaTheme="minorEastAsia" w:hAnsi="Palatino Linotype"/>
              </w:rPr>
              <w:t xml:space="preserve"> years.  Subsequent years they will be evaluated on a Focused evaluation.  </w:t>
            </w:r>
          </w:p>
          <w:p w14:paraId="65FD2E37" w14:textId="1D534492" w:rsidR="00B83C07" w:rsidRPr="00BC35DD" w:rsidRDefault="00B83C07" w:rsidP="00B83C07">
            <w:pPr>
              <w:pStyle w:val="NoSpacing"/>
              <w:numPr>
                <w:ilvl w:val="0"/>
                <w:numId w:val="24"/>
              </w:numPr>
              <w:ind w:left="432"/>
              <w:rPr>
                <w:rFonts w:ascii="Palatino Linotype" w:eastAsia="Times New Roman" w:hAnsi="Palatino Linotype" w:cs="Times New Roman"/>
              </w:rPr>
            </w:pPr>
            <w:r w:rsidRPr="00BC35DD">
              <w:rPr>
                <w:rFonts w:ascii="Palatino Linotype" w:hAnsi="Palatino Linotype"/>
              </w:rPr>
              <w:t>The teacher who is on a Comprehensive evaluation will select student growth goal(s) for SG 3.1, SG 6.1, and SG 8.1.  These goals shall be developed with input from the evaluator and may be interrelated or ‘nested.’  This wi</w:t>
            </w:r>
            <w:r>
              <w:rPr>
                <w:rFonts w:ascii="Palatino Linotype" w:hAnsi="Palatino Linotype"/>
              </w:rPr>
              <w:t>ll be completed by November 1</w:t>
            </w:r>
            <w:r w:rsidRPr="00B83C07">
              <w:rPr>
                <w:rFonts w:ascii="Palatino Linotype" w:hAnsi="Palatino Linotype"/>
                <w:vertAlign w:val="superscript"/>
              </w:rPr>
              <w:t>st</w:t>
            </w:r>
            <w:r>
              <w:rPr>
                <w:rFonts w:ascii="Palatino Linotype" w:hAnsi="Palatino Linotype"/>
              </w:rPr>
              <w:t xml:space="preserve"> (see APPENDIX G Student Growth Goals and Goal Setting Template).</w:t>
            </w:r>
          </w:p>
        </w:tc>
      </w:tr>
      <w:tr w:rsidR="00B83C07" w:rsidRPr="00BC35DD" w14:paraId="6197BD07" w14:textId="77777777" w:rsidTr="004C45FA">
        <w:trPr>
          <w:trHeight w:val="180"/>
        </w:trPr>
        <w:tc>
          <w:tcPr>
            <w:tcW w:w="2700" w:type="dxa"/>
          </w:tcPr>
          <w:p w14:paraId="69C7205B" w14:textId="77777777" w:rsidR="00B83C07" w:rsidRPr="00BC35DD" w:rsidRDefault="00B83C07" w:rsidP="00B83C07">
            <w:pPr>
              <w:rPr>
                <w:rFonts w:ascii="Palatino Linotype" w:hAnsi="Palatino Linotype"/>
                <w:b/>
                <w:color w:val="FF0000"/>
                <w:szCs w:val="22"/>
              </w:rPr>
            </w:pPr>
          </w:p>
          <w:p w14:paraId="17313673" w14:textId="77777777" w:rsidR="00B83C07" w:rsidRPr="00BC35DD" w:rsidRDefault="00B83C07" w:rsidP="00B83C07">
            <w:pPr>
              <w:rPr>
                <w:rFonts w:ascii="Palatino Linotype" w:hAnsi="Palatino Linotype"/>
                <w:b/>
                <w:color w:val="FF0000"/>
                <w:szCs w:val="22"/>
              </w:rPr>
            </w:pPr>
          </w:p>
          <w:p w14:paraId="5602A920" w14:textId="77777777" w:rsidR="00B83C07" w:rsidRPr="00BC35DD" w:rsidRDefault="00B83C07" w:rsidP="00B83C07">
            <w:pPr>
              <w:rPr>
                <w:rFonts w:ascii="Palatino Linotype" w:hAnsi="Palatino Linotype"/>
                <w:b/>
                <w:color w:val="FF0000"/>
                <w:szCs w:val="22"/>
              </w:rPr>
            </w:pPr>
            <w:r w:rsidRPr="004C45FA">
              <w:rPr>
                <w:rFonts w:ascii="Palatino Linotype" w:hAnsi="Palatino Linotype"/>
                <w:b/>
                <w:color w:val="FF0000"/>
                <w:sz w:val="22"/>
                <w:szCs w:val="22"/>
              </w:rPr>
              <w:t>Nov. 1st</w:t>
            </w:r>
            <w:r w:rsidRPr="00BC35DD">
              <w:rPr>
                <w:rFonts w:ascii="Palatino Linotype" w:hAnsi="Palatino Linotype"/>
                <w:b/>
                <w:color w:val="FF0000"/>
                <w:szCs w:val="22"/>
              </w:rPr>
              <w:t xml:space="preserve"> </w:t>
            </w:r>
          </w:p>
        </w:tc>
        <w:tc>
          <w:tcPr>
            <w:tcW w:w="7830" w:type="dxa"/>
          </w:tcPr>
          <w:p w14:paraId="3F1F182D" w14:textId="0A18E96D" w:rsidR="00B83C07" w:rsidRPr="00BC35DD" w:rsidRDefault="00B83C07" w:rsidP="00B83C07">
            <w:pPr>
              <w:pStyle w:val="NoSpacing"/>
              <w:rPr>
                <w:rFonts w:ascii="Palatino Linotype" w:hAnsi="Palatino Linotype"/>
                <w:b/>
                <w:u w:val="single"/>
              </w:rPr>
            </w:pPr>
            <w:r w:rsidRPr="00BC35DD">
              <w:rPr>
                <w:rFonts w:ascii="Palatino Linotype" w:hAnsi="Palatino Linotype"/>
                <w:b/>
                <w:u w:val="single"/>
              </w:rPr>
              <w:t xml:space="preserve">Focused Evaluation </w:t>
            </w:r>
            <w:r w:rsidRPr="007578BD">
              <w:rPr>
                <w:rFonts w:ascii="Palatino Linotype" w:hAnsi="Palatino Linotype"/>
                <w:b/>
                <w:u w:val="single"/>
              </w:rPr>
              <w:t>(Appendix E)</w:t>
            </w:r>
          </w:p>
          <w:p w14:paraId="26EF513D" w14:textId="37DE2DD3" w:rsidR="00B83C07" w:rsidRPr="00BC35DD" w:rsidRDefault="00B83C07" w:rsidP="00B83C07">
            <w:pPr>
              <w:pStyle w:val="NoSpacing"/>
              <w:numPr>
                <w:ilvl w:val="0"/>
                <w:numId w:val="24"/>
              </w:numPr>
              <w:ind w:left="432"/>
              <w:rPr>
                <w:rFonts w:ascii="Palatino Linotype" w:hAnsi="Palatino Linotype"/>
              </w:rPr>
            </w:pPr>
            <w:r w:rsidRPr="00BC35DD">
              <w:rPr>
                <w:rFonts w:ascii="Palatino Linotype" w:hAnsi="Palatino Linotype"/>
              </w:rPr>
              <w:t>The Focused evaluation is a growth-oriented, teacher/evaluator collaborative process that</w:t>
            </w:r>
            <w:r w:rsidRPr="00BC35DD">
              <w:rPr>
                <w:rFonts w:ascii="Palatino Linotype" w:hAnsi="Palatino Linotype" w:cs="Times New Roman"/>
              </w:rPr>
              <w:t xml:space="preserve"> </w:t>
            </w:r>
            <w:r w:rsidRPr="00BC35DD">
              <w:rPr>
                <w:rFonts w:ascii="Palatino Linotype" w:hAnsi="Palatino Linotype"/>
              </w:rPr>
              <w:t xml:space="preserve">requires teachers to be evaluated on one (1) of the eight (8) state criteria.  A teacher must complete a Comprehensive evaluation once every </w:t>
            </w:r>
            <w:r w:rsidR="007633CB" w:rsidRPr="007633CB">
              <w:rPr>
                <w:rFonts w:ascii="Palatino Linotype" w:eastAsiaTheme="minorEastAsia" w:hAnsi="Palatino Linotype"/>
              </w:rPr>
              <w:t>six (6)</w:t>
            </w:r>
            <w:r w:rsidRPr="007633CB">
              <w:rPr>
                <w:rFonts w:ascii="Palatino Linotype" w:hAnsi="Palatino Linotype"/>
              </w:rPr>
              <w:t>.</w:t>
            </w:r>
            <w:r w:rsidRPr="00BC35DD">
              <w:rPr>
                <w:rFonts w:ascii="Palatino Linotype" w:hAnsi="Palatino Linotype"/>
              </w:rPr>
              <w:t xml:space="preserve">  Subsequent years they will be evaluated on a Focused evaluation.</w:t>
            </w:r>
          </w:p>
          <w:p w14:paraId="460C514C" w14:textId="55769C9B" w:rsidR="00B83C07" w:rsidRPr="00BC35DD" w:rsidRDefault="00B83C07" w:rsidP="00B83C07">
            <w:pPr>
              <w:pStyle w:val="NoSpacing"/>
              <w:numPr>
                <w:ilvl w:val="0"/>
                <w:numId w:val="24"/>
              </w:numPr>
              <w:ind w:left="432"/>
              <w:rPr>
                <w:rFonts w:ascii="Palatino Linotype" w:hAnsi="Palatino Linotype" w:cs="Times New Roman"/>
              </w:rPr>
            </w:pPr>
            <w:r w:rsidRPr="00BC35DD">
              <w:rPr>
                <w:rFonts w:ascii="Palatino Linotype" w:hAnsi="Palatino Linotype"/>
              </w:rPr>
              <w:t>When the teacher selects Criterion 3, 6, or 8 they must complete the embedded student growth components within their chosen criterion only.  When the teacher selects Criterion 1, 2, 4, 5, or 7, they must select the student growth components in either 3 or 6 (SG 3.1, SG 6.1).  Student Growth Goals will be developed by the teacher with input from his or her evaluator.  This wi</w:t>
            </w:r>
            <w:r>
              <w:rPr>
                <w:rFonts w:ascii="Palatino Linotype" w:hAnsi="Palatino Linotype"/>
              </w:rPr>
              <w:t>ll be completed by November 1st (see APPENDIX G Student Growth Goals and Goal Setting Template).</w:t>
            </w:r>
          </w:p>
        </w:tc>
      </w:tr>
      <w:tr w:rsidR="00B83C07" w:rsidRPr="00BC35DD" w14:paraId="3DA99687" w14:textId="77777777" w:rsidTr="004C45FA">
        <w:trPr>
          <w:trHeight w:val="180"/>
        </w:trPr>
        <w:tc>
          <w:tcPr>
            <w:tcW w:w="2700" w:type="dxa"/>
          </w:tcPr>
          <w:p w14:paraId="482C0644" w14:textId="77777777" w:rsidR="00B83C07" w:rsidRPr="00BC35DD" w:rsidRDefault="00B83C07" w:rsidP="00B83C07">
            <w:pPr>
              <w:rPr>
                <w:rFonts w:ascii="Palatino Linotype" w:hAnsi="Palatino Linotype"/>
                <w:b/>
                <w:color w:val="FF0000"/>
                <w:szCs w:val="22"/>
              </w:rPr>
            </w:pPr>
          </w:p>
          <w:p w14:paraId="5BF943C8" w14:textId="77777777" w:rsidR="00B83C07" w:rsidRPr="00BC35DD" w:rsidRDefault="00B83C07" w:rsidP="00B83C07">
            <w:pPr>
              <w:rPr>
                <w:rFonts w:ascii="Palatino Linotype" w:hAnsi="Palatino Linotype"/>
                <w:b/>
                <w:color w:val="FF0000"/>
                <w:szCs w:val="22"/>
              </w:rPr>
            </w:pPr>
            <w:r w:rsidRPr="004C45FA">
              <w:rPr>
                <w:rFonts w:ascii="Palatino Linotype" w:hAnsi="Palatino Linotype"/>
                <w:b/>
                <w:color w:val="FF0000"/>
                <w:sz w:val="22"/>
                <w:szCs w:val="22"/>
              </w:rPr>
              <w:t>Nov. 1st</w:t>
            </w:r>
            <w:r w:rsidRPr="00BC35DD">
              <w:rPr>
                <w:rFonts w:ascii="Palatino Linotype" w:hAnsi="Palatino Linotype"/>
                <w:b/>
                <w:color w:val="FF0000"/>
                <w:szCs w:val="22"/>
              </w:rPr>
              <w:t xml:space="preserve"> </w:t>
            </w:r>
          </w:p>
        </w:tc>
        <w:tc>
          <w:tcPr>
            <w:tcW w:w="7830" w:type="dxa"/>
          </w:tcPr>
          <w:p w14:paraId="04AA2AC6" w14:textId="53BDC8CA" w:rsidR="00B83C07" w:rsidRPr="00BC35DD" w:rsidRDefault="00B83C07" w:rsidP="00B83C07">
            <w:pPr>
              <w:pStyle w:val="NoSpacing"/>
              <w:rPr>
                <w:rFonts w:ascii="Palatino Linotype" w:hAnsi="Palatino Linotype"/>
                <w:b/>
                <w:u w:val="single"/>
              </w:rPr>
            </w:pPr>
            <w:r w:rsidRPr="00BC35DD">
              <w:rPr>
                <w:rFonts w:ascii="Palatino Linotype" w:hAnsi="Palatino Linotype"/>
                <w:b/>
                <w:u w:val="single"/>
              </w:rPr>
              <w:t xml:space="preserve">Student Growth Goal Setting </w:t>
            </w:r>
            <w:r w:rsidRPr="00BC35DD">
              <w:rPr>
                <w:rFonts w:ascii="Palatino Linotype" w:hAnsi="Palatino Linotype"/>
                <w:b/>
                <w:i/>
                <w:u w:val="single"/>
              </w:rPr>
              <w:t>Template</w:t>
            </w:r>
            <w:r w:rsidRPr="00BC35DD">
              <w:rPr>
                <w:rFonts w:ascii="Palatino Linotype" w:hAnsi="Palatino Linotype"/>
                <w:b/>
                <w:u w:val="single"/>
              </w:rPr>
              <w:t xml:space="preserve"> </w:t>
            </w:r>
            <w:r w:rsidRPr="007578BD">
              <w:rPr>
                <w:rFonts w:ascii="Palatino Linotype" w:hAnsi="Palatino Linotype"/>
                <w:b/>
                <w:u w:val="single"/>
              </w:rPr>
              <w:t>(Appendix G)</w:t>
            </w:r>
          </w:p>
          <w:p w14:paraId="0F379C9D" w14:textId="77777777" w:rsidR="00B83C07" w:rsidRPr="00BC35DD" w:rsidRDefault="00B83C07" w:rsidP="00B83C07">
            <w:pPr>
              <w:pStyle w:val="NoSpacing"/>
              <w:numPr>
                <w:ilvl w:val="0"/>
                <w:numId w:val="24"/>
              </w:numPr>
              <w:ind w:left="432"/>
              <w:rPr>
                <w:rFonts w:ascii="Palatino Linotype" w:hAnsi="Palatino Linotype"/>
              </w:rPr>
            </w:pPr>
            <w:r w:rsidRPr="00BC35DD">
              <w:rPr>
                <w:rFonts w:ascii="Palatino Linotype" w:hAnsi="Palatino Linotype"/>
              </w:rPr>
              <w:t>See Student Growth Goal details above (under Comprehensive Evaluation and Focused Evaluation).</w:t>
            </w:r>
          </w:p>
          <w:p w14:paraId="637FECBA" w14:textId="77777777" w:rsidR="00B83C07" w:rsidRPr="00BC35DD" w:rsidRDefault="00B83C07" w:rsidP="00B83C07">
            <w:pPr>
              <w:pStyle w:val="NoSpacing"/>
              <w:numPr>
                <w:ilvl w:val="0"/>
                <w:numId w:val="24"/>
              </w:numPr>
              <w:ind w:left="432"/>
              <w:rPr>
                <w:rFonts w:ascii="Palatino Linotype" w:hAnsi="Palatino Linotype"/>
              </w:rPr>
            </w:pPr>
            <w:r w:rsidRPr="00BC35DD">
              <w:rPr>
                <w:rFonts w:ascii="Palatino Linotype" w:hAnsi="Palatino Linotype"/>
              </w:rPr>
              <w:t>See Classroom Teacher Evaluation Procedures for more specific instruction regarding Student Growth Goal Setting.</w:t>
            </w:r>
          </w:p>
        </w:tc>
      </w:tr>
    </w:tbl>
    <w:p w14:paraId="2E0095A8" w14:textId="77777777" w:rsidR="00BC35DD" w:rsidRPr="00BC35DD" w:rsidRDefault="00BC35DD" w:rsidP="00BC35DD">
      <w:pPr>
        <w:rPr>
          <w:rFonts w:ascii="Palatino Linotype" w:hAnsi="Palatino Linotype"/>
        </w:rPr>
      </w:pPr>
    </w:p>
    <w:p w14:paraId="677A14FC" w14:textId="77777777" w:rsidR="00BC35DD" w:rsidRPr="00BC35DD" w:rsidRDefault="00BC35DD" w:rsidP="00BC35DD">
      <w:pPr>
        <w:rPr>
          <w:rFonts w:ascii="Palatino Linotype" w:hAnsi="Palatino Linotype"/>
        </w:rPr>
      </w:pPr>
    </w:p>
    <w:p w14:paraId="51A0AA8F" w14:textId="77777777" w:rsidR="00BC35DD" w:rsidRPr="00BC35DD" w:rsidRDefault="00BC35DD" w:rsidP="00BC35DD">
      <w:pPr>
        <w:rPr>
          <w:rFonts w:ascii="Palatino Linotype" w:hAnsi="Palatino Linotype"/>
        </w:rPr>
      </w:pPr>
    </w:p>
    <w:p w14:paraId="1BBC07FE" w14:textId="77777777" w:rsidR="00BC35DD" w:rsidRPr="00BC35DD" w:rsidRDefault="00BC35DD" w:rsidP="00BC35DD">
      <w:pPr>
        <w:rPr>
          <w:rFonts w:ascii="Palatino Linotype" w:hAnsi="Palatino Linotype"/>
        </w:rPr>
      </w:pPr>
    </w:p>
    <w:p w14:paraId="178B5F29" w14:textId="77777777" w:rsidR="00BC35DD" w:rsidRDefault="00BC35DD" w:rsidP="00BC35DD">
      <w:pPr>
        <w:rPr>
          <w:rFonts w:ascii="Palatino Linotype" w:hAnsi="Palatino Linotype"/>
        </w:rPr>
      </w:pPr>
    </w:p>
    <w:p w14:paraId="61D921BC" w14:textId="77777777" w:rsidR="00993668" w:rsidRPr="00BC35DD" w:rsidRDefault="00993668" w:rsidP="00BC35DD">
      <w:pPr>
        <w:rPr>
          <w:rFonts w:ascii="Palatino Linotype" w:hAnsi="Palatino Linotype"/>
        </w:rPr>
      </w:pPr>
    </w:p>
    <w:p w14:paraId="58CE7119" w14:textId="77777777" w:rsidR="00BC35DD" w:rsidRPr="00BC35DD" w:rsidRDefault="00BC35DD" w:rsidP="00BC35DD">
      <w:pPr>
        <w:rPr>
          <w:rFonts w:ascii="Palatino Linotype" w:hAnsi="Palatino Linotype"/>
        </w:rPr>
      </w:pPr>
    </w:p>
    <w:tbl>
      <w:tblPr>
        <w:tblW w:w="1008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020"/>
      </w:tblGrid>
      <w:tr w:rsidR="00BC35DD" w:rsidRPr="00BC35DD" w14:paraId="0E2593C6" w14:textId="77777777" w:rsidTr="004C45FA">
        <w:trPr>
          <w:trHeight w:val="180"/>
        </w:trPr>
        <w:tc>
          <w:tcPr>
            <w:tcW w:w="3060" w:type="dxa"/>
          </w:tcPr>
          <w:p w14:paraId="51840846" w14:textId="77777777" w:rsidR="00BC35DD" w:rsidRPr="00BC35DD" w:rsidRDefault="00BC35DD" w:rsidP="003315CB">
            <w:pPr>
              <w:rPr>
                <w:rFonts w:ascii="Palatino Linotype" w:hAnsi="Palatino Linotype"/>
                <w:b/>
                <w:color w:val="FF0000"/>
                <w:szCs w:val="22"/>
              </w:rPr>
            </w:pPr>
          </w:p>
        </w:tc>
        <w:tc>
          <w:tcPr>
            <w:tcW w:w="7020" w:type="dxa"/>
          </w:tcPr>
          <w:p w14:paraId="513E4184" w14:textId="77777777" w:rsidR="00BC35DD" w:rsidRPr="00BC35DD" w:rsidRDefault="00BC35DD" w:rsidP="003315CB">
            <w:pPr>
              <w:pStyle w:val="NoSpacing"/>
              <w:rPr>
                <w:rFonts w:ascii="Palatino Linotype" w:hAnsi="Palatino Linotype"/>
                <w:b/>
                <w:u w:val="single"/>
              </w:rPr>
            </w:pPr>
            <w:r w:rsidRPr="00BC35DD">
              <w:rPr>
                <w:rFonts w:ascii="Palatino Linotype" w:hAnsi="Palatino Linotype"/>
                <w:b/>
                <w:u w:val="single"/>
              </w:rPr>
              <w:t>Pre-Observation Communication</w:t>
            </w:r>
          </w:p>
          <w:p w14:paraId="5C6447DB"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Prior to any scheduled observation, the teacher will be given the opportunity to review the objectives and goals of his/her lesson with his/her evaluator.</w:t>
            </w:r>
          </w:p>
        </w:tc>
      </w:tr>
      <w:tr w:rsidR="00BC35DD" w:rsidRPr="00BC35DD" w14:paraId="1DC2FF1B" w14:textId="77777777" w:rsidTr="004C45FA">
        <w:trPr>
          <w:trHeight w:val="180"/>
        </w:trPr>
        <w:tc>
          <w:tcPr>
            <w:tcW w:w="3060" w:type="dxa"/>
          </w:tcPr>
          <w:p w14:paraId="52A2C608" w14:textId="77777777" w:rsidR="00BC35DD" w:rsidRPr="00BC35DD" w:rsidRDefault="00BC35DD" w:rsidP="003315CB">
            <w:pPr>
              <w:rPr>
                <w:rFonts w:ascii="Palatino Linotype" w:hAnsi="Palatino Linotype"/>
                <w:b/>
                <w:color w:val="FF0000"/>
                <w:szCs w:val="22"/>
              </w:rPr>
            </w:pPr>
          </w:p>
          <w:p w14:paraId="4993F619" w14:textId="29E0D9C4" w:rsidR="00BC35DD" w:rsidRPr="00BC35DD" w:rsidRDefault="00BC35DD" w:rsidP="003315CB">
            <w:pPr>
              <w:rPr>
                <w:rFonts w:ascii="Palatino Linotype" w:hAnsi="Palatino Linotype"/>
                <w:b/>
                <w:color w:val="FF0000"/>
                <w:szCs w:val="22"/>
              </w:rPr>
            </w:pPr>
            <w:r w:rsidRPr="004C45FA">
              <w:rPr>
                <w:rFonts w:ascii="Palatino Linotype" w:hAnsi="Palatino Linotype"/>
                <w:b/>
                <w:color w:val="FF0000"/>
                <w:sz w:val="22"/>
                <w:szCs w:val="22"/>
              </w:rPr>
              <w:t>Within first 90</w:t>
            </w:r>
            <w:r w:rsidRPr="00BC35DD">
              <w:rPr>
                <w:rFonts w:ascii="Palatino Linotype" w:hAnsi="Palatino Linotype"/>
                <w:b/>
                <w:color w:val="FF0000"/>
                <w:szCs w:val="22"/>
              </w:rPr>
              <w:t xml:space="preserve"> </w:t>
            </w:r>
            <w:r w:rsidRPr="004C45FA">
              <w:rPr>
                <w:rFonts w:ascii="Palatino Linotype" w:hAnsi="Palatino Linotype"/>
                <w:b/>
                <w:color w:val="FF0000"/>
                <w:sz w:val="22"/>
                <w:szCs w:val="22"/>
              </w:rPr>
              <w:t>days</w:t>
            </w:r>
            <w:r w:rsidR="00B83C07" w:rsidRPr="004C45FA">
              <w:rPr>
                <w:rFonts w:ascii="Palatino Linotype" w:hAnsi="Palatino Linotype"/>
                <w:b/>
                <w:color w:val="FF0000"/>
                <w:sz w:val="22"/>
                <w:szCs w:val="22"/>
              </w:rPr>
              <w:t xml:space="preserve"> for Provisional staff</w:t>
            </w:r>
          </w:p>
        </w:tc>
        <w:tc>
          <w:tcPr>
            <w:tcW w:w="7020" w:type="dxa"/>
          </w:tcPr>
          <w:p w14:paraId="4C550B14" w14:textId="57AE2352" w:rsidR="00BC35DD" w:rsidRPr="00BC35DD" w:rsidRDefault="00BC35DD" w:rsidP="003315CB">
            <w:pPr>
              <w:pStyle w:val="NoSpacing"/>
              <w:rPr>
                <w:rFonts w:ascii="Palatino Linotype" w:hAnsi="Palatino Linotype"/>
                <w:b/>
              </w:rPr>
            </w:pPr>
            <w:r w:rsidRPr="00BC35DD">
              <w:rPr>
                <w:rFonts w:ascii="Palatino Linotype" w:hAnsi="Palatino Linotype"/>
                <w:b/>
              </w:rPr>
              <w:t xml:space="preserve">Observations </w:t>
            </w:r>
            <w:r w:rsidR="00B83C07" w:rsidRPr="007578BD">
              <w:rPr>
                <w:rFonts w:ascii="Palatino Linotype" w:hAnsi="Palatino Linotype"/>
                <w:b/>
              </w:rPr>
              <w:t>(Appendix H</w:t>
            </w:r>
            <w:r w:rsidRPr="007578BD">
              <w:rPr>
                <w:rFonts w:ascii="Palatino Linotype" w:hAnsi="Palatino Linotype"/>
                <w:b/>
              </w:rPr>
              <w:t>)</w:t>
            </w:r>
          </w:p>
          <w:p w14:paraId="7596CA9D"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 xml:space="preserve">The total annual observation time must be at least sixty (60) minutes. </w:t>
            </w:r>
          </w:p>
          <w:p w14:paraId="34E7ECC3"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Each observation shall be a minimum of ten (10) minutes.</w:t>
            </w:r>
          </w:p>
          <w:p w14:paraId="4072B4E7"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Provisional teachers shall be observed at least once during the first ninety (90) calendar days of his/her employment period.  This observation must be scheduled and must be a minimum of thirty (30) minutes in length.</w:t>
            </w:r>
          </w:p>
          <w:p w14:paraId="0B92E760"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Third year Provisional teachers must be observed three (3) times for total of ninety (90) minutes.</w:t>
            </w:r>
          </w:p>
        </w:tc>
      </w:tr>
      <w:tr w:rsidR="00BC35DD" w:rsidRPr="00BC35DD" w14:paraId="4383CC18" w14:textId="77777777" w:rsidTr="004C45FA">
        <w:trPr>
          <w:trHeight w:val="180"/>
        </w:trPr>
        <w:tc>
          <w:tcPr>
            <w:tcW w:w="3060" w:type="dxa"/>
          </w:tcPr>
          <w:p w14:paraId="5CC16F3F" w14:textId="77777777" w:rsidR="00BC35DD" w:rsidRPr="00BC35DD" w:rsidRDefault="00BC35DD" w:rsidP="003315CB">
            <w:pPr>
              <w:rPr>
                <w:rFonts w:ascii="Palatino Linotype" w:hAnsi="Palatino Linotype"/>
                <w:b/>
                <w:color w:val="FF0000"/>
                <w:szCs w:val="22"/>
              </w:rPr>
            </w:pPr>
          </w:p>
        </w:tc>
        <w:tc>
          <w:tcPr>
            <w:tcW w:w="7020" w:type="dxa"/>
          </w:tcPr>
          <w:p w14:paraId="03D5A5D2" w14:textId="77777777" w:rsidR="00BC35DD" w:rsidRPr="00BC35DD" w:rsidRDefault="00BC35DD" w:rsidP="003315CB">
            <w:pPr>
              <w:pStyle w:val="NoSpacing"/>
              <w:rPr>
                <w:rFonts w:ascii="Palatino Linotype" w:hAnsi="Palatino Linotype"/>
                <w:b/>
                <w:u w:val="single"/>
              </w:rPr>
            </w:pPr>
            <w:r w:rsidRPr="00BC35DD">
              <w:rPr>
                <w:rFonts w:ascii="Palatino Linotype" w:hAnsi="Palatino Linotype"/>
                <w:b/>
                <w:u w:val="single"/>
              </w:rPr>
              <w:t>Post-Observation Communication</w:t>
            </w:r>
          </w:p>
          <w:p w14:paraId="36472C47"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Following each observation or series of observations, the evaluator will:</w:t>
            </w:r>
          </w:p>
          <w:p w14:paraId="637A621A"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Document and share the results of the observation in writing and make available using district technology.</w:t>
            </w:r>
          </w:p>
          <w:p w14:paraId="69127621"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The evaluator will share his/her observation report with the teacher within 15 working days.</w:t>
            </w:r>
          </w:p>
          <w:p w14:paraId="044AC568"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The teacher may request a meeting to review the observation report if desired.</w:t>
            </w:r>
          </w:p>
        </w:tc>
      </w:tr>
      <w:tr w:rsidR="00BC35DD" w:rsidRPr="00BC35DD" w14:paraId="004B0BD8" w14:textId="77777777" w:rsidTr="004C45FA">
        <w:trPr>
          <w:trHeight w:val="180"/>
        </w:trPr>
        <w:tc>
          <w:tcPr>
            <w:tcW w:w="3060" w:type="dxa"/>
          </w:tcPr>
          <w:p w14:paraId="3239A018" w14:textId="77777777" w:rsidR="00BC35DD" w:rsidRPr="00BC35DD" w:rsidRDefault="00BC35DD" w:rsidP="003315CB">
            <w:pPr>
              <w:pStyle w:val="NoSpacing"/>
              <w:rPr>
                <w:rFonts w:ascii="Palatino Linotype" w:hAnsi="Palatino Linotype"/>
              </w:rPr>
            </w:pPr>
          </w:p>
        </w:tc>
        <w:tc>
          <w:tcPr>
            <w:tcW w:w="7020" w:type="dxa"/>
          </w:tcPr>
          <w:p w14:paraId="67BF775B" w14:textId="77777777" w:rsidR="00BC35DD" w:rsidRPr="00BC35DD" w:rsidRDefault="00BC35DD" w:rsidP="003315CB">
            <w:pPr>
              <w:pStyle w:val="NoSpacing"/>
              <w:rPr>
                <w:rFonts w:ascii="Palatino Linotype" w:hAnsi="Palatino Linotype"/>
                <w:b/>
              </w:rPr>
            </w:pPr>
            <w:r w:rsidRPr="00BC35DD">
              <w:rPr>
                <w:rFonts w:ascii="Palatino Linotype" w:hAnsi="Palatino Linotype"/>
                <w:b/>
                <w:u w:val="single"/>
              </w:rPr>
              <w:t>Artifacts &amp; Evidence</w:t>
            </w:r>
          </w:p>
          <w:p w14:paraId="3752D891"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Each classroom teacher will have the opportunity to submit artifacts or evidence to support his/her performance at any time after the observation(s).</w:t>
            </w:r>
          </w:p>
        </w:tc>
      </w:tr>
      <w:tr w:rsidR="00BC35DD" w:rsidRPr="00BC35DD" w14:paraId="06DA5EFA" w14:textId="77777777" w:rsidTr="004C45FA">
        <w:trPr>
          <w:trHeight w:val="180"/>
        </w:trPr>
        <w:tc>
          <w:tcPr>
            <w:tcW w:w="3060" w:type="dxa"/>
          </w:tcPr>
          <w:p w14:paraId="5A1216CA" w14:textId="77777777" w:rsidR="00BC35DD" w:rsidRPr="00BC35DD" w:rsidRDefault="00BC35DD" w:rsidP="003315CB">
            <w:pPr>
              <w:rPr>
                <w:rFonts w:ascii="Palatino Linotype" w:hAnsi="Palatino Linotype"/>
                <w:b/>
                <w:color w:val="FF0000"/>
                <w:szCs w:val="22"/>
              </w:rPr>
            </w:pPr>
          </w:p>
          <w:p w14:paraId="411D9A16" w14:textId="77777777" w:rsidR="00BC35DD" w:rsidRPr="004C45FA" w:rsidRDefault="00B83C07" w:rsidP="00B83C07">
            <w:pPr>
              <w:rPr>
                <w:rFonts w:ascii="Palatino Linotype" w:hAnsi="Palatino Linotype"/>
                <w:b/>
                <w:color w:val="FF0000"/>
                <w:sz w:val="22"/>
                <w:szCs w:val="22"/>
              </w:rPr>
            </w:pPr>
            <w:r w:rsidRPr="004C45FA">
              <w:rPr>
                <w:rFonts w:ascii="Palatino Linotype" w:hAnsi="Palatino Linotype"/>
                <w:b/>
                <w:color w:val="FF0000"/>
                <w:sz w:val="22"/>
                <w:szCs w:val="22"/>
              </w:rPr>
              <w:t>December 15th to be notified of move to Comprehensive or Long Form</w:t>
            </w:r>
          </w:p>
          <w:p w14:paraId="33A69883" w14:textId="77777777" w:rsidR="00B83C07" w:rsidRPr="004C45FA" w:rsidRDefault="00B83C07" w:rsidP="00B83C07">
            <w:pPr>
              <w:rPr>
                <w:rFonts w:ascii="Palatino Linotype" w:hAnsi="Palatino Linotype"/>
                <w:b/>
                <w:color w:val="FF0000"/>
                <w:sz w:val="22"/>
                <w:szCs w:val="22"/>
              </w:rPr>
            </w:pPr>
          </w:p>
          <w:p w14:paraId="03011B81" w14:textId="39CE708E" w:rsidR="00B83C07" w:rsidRPr="00BC35DD" w:rsidRDefault="00B83C07" w:rsidP="00B83C07">
            <w:pPr>
              <w:rPr>
                <w:rFonts w:ascii="Palatino Linotype" w:hAnsi="Palatino Linotype"/>
                <w:b/>
                <w:color w:val="FF0000"/>
                <w:szCs w:val="22"/>
              </w:rPr>
            </w:pPr>
            <w:r w:rsidRPr="004C45FA">
              <w:rPr>
                <w:rFonts w:ascii="Palatino Linotype" w:hAnsi="Palatino Linotype"/>
                <w:b/>
                <w:color w:val="FF0000"/>
                <w:sz w:val="22"/>
                <w:szCs w:val="22"/>
              </w:rPr>
              <w:t>End of 1st semester to be notified of being at risk for Basic/</w:t>
            </w:r>
            <w:proofErr w:type="spellStart"/>
            <w:r w:rsidRPr="004C45FA">
              <w:rPr>
                <w:rFonts w:ascii="Palatino Linotype" w:hAnsi="Palatino Linotype"/>
                <w:b/>
                <w:color w:val="FF0000"/>
                <w:sz w:val="22"/>
                <w:szCs w:val="22"/>
              </w:rPr>
              <w:t>Uns</w:t>
            </w:r>
            <w:r w:rsidR="007633CB">
              <w:rPr>
                <w:rFonts w:ascii="Palatino Linotype" w:hAnsi="Palatino Linotype"/>
                <w:b/>
                <w:color w:val="FF0000"/>
                <w:sz w:val="22"/>
                <w:szCs w:val="22"/>
              </w:rPr>
              <w:t>at</w:t>
            </w:r>
            <w:proofErr w:type="spellEnd"/>
            <w:r w:rsidR="007633CB">
              <w:rPr>
                <w:rFonts w:ascii="Palatino Linotype" w:hAnsi="Palatino Linotype"/>
                <w:b/>
                <w:color w:val="FF0000"/>
                <w:sz w:val="22"/>
                <w:szCs w:val="22"/>
              </w:rPr>
              <w:t xml:space="preserve"> (for Comprehensive employees)</w:t>
            </w:r>
          </w:p>
        </w:tc>
        <w:tc>
          <w:tcPr>
            <w:tcW w:w="7020" w:type="dxa"/>
          </w:tcPr>
          <w:p w14:paraId="5C88D6BD" w14:textId="77777777" w:rsidR="00BC35DD" w:rsidRPr="00BC35DD" w:rsidRDefault="00BC35DD" w:rsidP="003315CB">
            <w:pPr>
              <w:pStyle w:val="NoSpacing"/>
              <w:rPr>
                <w:rFonts w:ascii="Palatino Linotype" w:hAnsi="Palatino Linotype"/>
                <w:b/>
                <w:u w:val="single"/>
              </w:rPr>
            </w:pPr>
            <w:r w:rsidRPr="00BC35DD">
              <w:rPr>
                <w:rFonts w:ascii="Palatino Linotype" w:hAnsi="Palatino Linotype"/>
                <w:b/>
                <w:u w:val="single"/>
              </w:rPr>
              <w:t>Teachers at Risk of Being Rated Basic</w:t>
            </w:r>
          </w:p>
          <w:p w14:paraId="6D3A3A6A" w14:textId="46FE230D" w:rsidR="00B83C07" w:rsidRDefault="00B83C07" w:rsidP="00BC35DD">
            <w:pPr>
              <w:pStyle w:val="NoSpacing"/>
              <w:numPr>
                <w:ilvl w:val="0"/>
                <w:numId w:val="24"/>
              </w:numPr>
              <w:ind w:left="432"/>
              <w:rPr>
                <w:rFonts w:ascii="Palatino Linotype" w:hAnsi="Palatino Linotype"/>
              </w:rPr>
            </w:pPr>
            <w:r>
              <w:rPr>
                <w:rFonts w:ascii="Palatino Linotype" w:hAnsi="Palatino Linotype"/>
              </w:rPr>
              <w:t>The teacher and Association will be notified when any teacher is being moved to Comprehensive or Long form no later than December 15</w:t>
            </w:r>
            <w:r w:rsidRPr="00B83C07">
              <w:rPr>
                <w:rFonts w:ascii="Palatino Linotype" w:hAnsi="Palatino Linotype"/>
                <w:vertAlign w:val="superscript"/>
              </w:rPr>
              <w:t>th</w:t>
            </w:r>
            <w:r>
              <w:rPr>
                <w:rFonts w:ascii="Palatino Linotype" w:hAnsi="Palatino Linotype"/>
              </w:rPr>
              <w:t>.</w:t>
            </w:r>
          </w:p>
          <w:p w14:paraId="08A2F751" w14:textId="36BF8ABD"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The teacher and Association will be notified when any teacher is on track to be judged basic or unsatisfactory prior to the end of the first semester, or as soon as this determination is made.</w:t>
            </w:r>
          </w:p>
          <w:p w14:paraId="6EF6A30F" w14:textId="77777777" w:rsidR="00BC35DD" w:rsidRPr="00BC35DD" w:rsidRDefault="00BC35DD" w:rsidP="00BC35DD">
            <w:pPr>
              <w:pStyle w:val="NoSpacing"/>
              <w:numPr>
                <w:ilvl w:val="0"/>
                <w:numId w:val="24"/>
              </w:numPr>
              <w:ind w:left="432"/>
              <w:rPr>
                <w:rFonts w:ascii="Palatino Linotype" w:hAnsi="Palatino Linotype" w:cs="Times New Roman"/>
              </w:rPr>
            </w:pPr>
            <w:r w:rsidRPr="00BC35DD">
              <w:rPr>
                <w:rFonts w:ascii="Palatino Linotype" w:hAnsi="Palatino Linotype"/>
              </w:rPr>
              <w:t>When a teacher is at risk of being judged Basic or Unsatisfactory additional support shall be provided to support his/her professional development.</w:t>
            </w:r>
          </w:p>
        </w:tc>
      </w:tr>
      <w:tr w:rsidR="00BC35DD" w:rsidRPr="00BC35DD" w14:paraId="35E1968B" w14:textId="77777777" w:rsidTr="004C45FA">
        <w:trPr>
          <w:trHeight w:val="180"/>
        </w:trPr>
        <w:tc>
          <w:tcPr>
            <w:tcW w:w="3060" w:type="dxa"/>
          </w:tcPr>
          <w:p w14:paraId="027A5F49" w14:textId="77777777" w:rsidR="00BC35DD" w:rsidRPr="00BC35DD" w:rsidRDefault="00BC35DD" w:rsidP="003315CB">
            <w:pPr>
              <w:rPr>
                <w:rFonts w:ascii="Palatino Linotype" w:hAnsi="Palatino Linotype"/>
                <w:b/>
                <w:color w:val="FF0000"/>
                <w:szCs w:val="22"/>
              </w:rPr>
            </w:pPr>
          </w:p>
          <w:p w14:paraId="2BA62B6B" w14:textId="440DEEA8" w:rsidR="00BC35DD" w:rsidRDefault="00BC35DD" w:rsidP="003315CB">
            <w:pPr>
              <w:rPr>
                <w:rFonts w:ascii="Palatino Linotype" w:hAnsi="Palatino Linotype"/>
                <w:b/>
                <w:color w:val="FF0000"/>
                <w:sz w:val="22"/>
                <w:szCs w:val="22"/>
              </w:rPr>
            </w:pPr>
            <w:r w:rsidRPr="004C45FA">
              <w:rPr>
                <w:rFonts w:ascii="Palatino Linotype" w:hAnsi="Palatino Linotype"/>
                <w:b/>
                <w:color w:val="FF0000"/>
                <w:sz w:val="22"/>
                <w:szCs w:val="22"/>
              </w:rPr>
              <w:t xml:space="preserve">April 15th </w:t>
            </w:r>
            <w:r w:rsidR="004C45FA">
              <w:rPr>
                <w:rFonts w:ascii="Palatino Linotype" w:hAnsi="Palatino Linotype"/>
                <w:b/>
                <w:color w:val="FF0000"/>
                <w:sz w:val="22"/>
                <w:szCs w:val="22"/>
              </w:rPr>
              <w:t>–</w:t>
            </w:r>
            <w:r w:rsidR="007578BD" w:rsidRPr="004C45FA">
              <w:rPr>
                <w:rFonts w:ascii="Palatino Linotype" w:hAnsi="Palatino Linotype"/>
                <w:b/>
                <w:color w:val="FF0000"/>
                <w:sz w:val="22"/>
                <w:szCs w:val="22"/>
              </w:rPr>
              <w:t xml:space="preserve"> Comprehensive</w:t>
            </w:r>
          </w:p>
          <w:p w14:paraId="3B0553FF" w14:textId="77777777" w:rsidR="004C45FA" w:rsidRPr="004C45FA" w:rsidRDefault="004C45FA" w:rsidP="003315CB">
            <w:pPr>
              <w:rPr>
                <w:rFonts w:ascii="Palatino Linotype" w:hAnsi="Palatino Linotype"/>
                <w:b/>
                <w:color w:val="FF0000"/>
                <w:sz w:val="22"/>
                <w:szCs w:val="22"/>
              </w:rPr>
            </w:pPr>
          </w:p>
          <w:p w14:paraId="20DC6EAF" w14:textId="0B3080D8" w:rsidR="00BC35DD" w:rsidRPr="00BC35DD" w:rsidRDefault="007578BD" w:rsidP="003315CB">
            <w:pPr>
              <w:rPr>
                <w:rFonts w:ascii="Palatino Linotype" w:hAnsi="Palatino Linotype"/>
                <w:b/>
                <w:color w:val="FF0000"/>
                <w:szCs w:val="22"/>
              </w:rPr>
            </w:pPr>
            <w:r w:rsidRPr="004C45FA">
              <w:rPr>
                <w:rFonts w:ascii="Palatino Linotype" w:hAnsi="Palatino Linotype"/>
                <w:b/>
                <w:color w:val="FF0000"/>
                <w:sz w:val="22"/>
                <w:szCs w:val="22"/>
              </w:rPr>
              <w:t>April 30th - Focused</w:t>
            </w:r>
            <w:r w:rsidR="00BC35DD" w:rsidRPr="00BC35DD">
              <w:rPr>
                <w:rFonts w:ascii="Palatino Linotype" w:hAnsi="Palatino Linotype"/>
                <w:b/>
                <w:color w:val="FF0000"/>
                <w:szCs w:val="22"/>
              </w:rPr>
              <w:t xml:space="preserve"> </w:t>
            </w:r>
          </w:p>
        </w:tc>
        <w:tc>
          <w:tcPr>
            <w:tcW w:w="7020" w:type="dxa"/>
          </w:tcPr>
          <w:p w14:paraId="438EECA4" w14:textId="77777777" w:rsidR="00BC35DD" w:rsidRPr="00BC35DD" w:rsidRDefault="00BC35DD" w:rsidP="003315CB">
            <w:pPr>
              <w:pStyle w:val="NoSpacing"/>
              <w:rPr>
                <w:rFonts w:ascii="Palatino Linotype" w:hAnsi="Palatino Linotype"/>
                <w:b/>
                <w:u w:val="single"/>
              </w:rPr>
            </w:pPr>
            <w:r w:rsidRPr="00BC35DD">
              <w:rPr>
                <w:rFonts w:ascii="Palatino Linotype" w:hAnsi="Palatino Linotype"/>
                <w:b/>
                <w:u w:val="single"/>
              </w:rPr>
              <w:t>Preliminary Summative Communication</w:t>
            </w:r>
          </w:p>
          <w:p w14:paraId="5D192AD7" w14:textId="1F84F2C6"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 xml:space="preserve">No later than April </w:t>
            </w:r>
            <w:r w:rsidR="007578BD">
              <w:rPr>
                <w:rFonts w:ascii="Palatino Linotype" w:hAnsi="Palatino Linotype"/>
              </w:rPr>
              <w:t>15</w:t>
            </w:r>
            <w:r w:rsidR="007578BD" w:rsidRPr="007578BD">
              <w:rPr>
                <w:rFonts w:ascii="Palatino Linotype" w:hAnsi="Palatino Linotype"/>
                <w:vertAlign w:val="superscript"/>
              </w:rPr>
              <w:t>th</w:t>
            </w:r>
            <w:r w:rsidR="007578BD">
              <w:rPr>
                <w:rFonts w:ascii="Palatino Linotype" w:hAnsi="Palatino Linotype"/>
              </w:rPr>
              <w:t xml:space="preserve"> for Comprehensive and April 30</w:t>
            </w:r>
            <w:r w:rsidR="007578BD" w:rsidRPr="007578BD">
              <w:rPr>
                <w:rFonts w:ascii="Palatino Linotype" w:hAnsi="Palatino Linotype"/>
                <w:vertAlign w:val="superscript"/>
              </w:rPr>
              <w:t>th</w:t>
            </w:r>
            <w:r w:rsidR="007578BD">
              <w:rPr>
                <w:rFonts w:ascii="Palatino Linotype" w:hAnsi="Palatino Linotype"/>
              </w:rPr>
              <w:t xml:space="preserve"> for Focused,</w:t>
            </w:r>
            <w:r w:rsidRPr="00BC35DD">
              <w:rPr>
                <w:rFonts w:ascii="Palatino Linotype" w:hAnsi="Palatino Linotype"/>
              </w:rPr>
              <w:t xml:space="preserve"> evaluators will communicate teachers’ preliminary performance ratings in each of the evaluated criteria areas.</w:t>
            </w:r>
          </w:p>
          <w:p w14:paraId="298D5D16" w14:textId="6ED487AB"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lastRenderedPageBreak/>
              <w:t xml:space="preserve">Teachers </w:t>
            </w:r>
            <w:r w:rsidR="00882CAD">
              <w:rPr>
                <w:rFonts w:ascii="Palatino Linotype" w:hAnsi="Palatino Linotype"/>
              </w:rPr>
              <w:t>who desire may work with their</w:t>
            </w:r>
            <w:r w:rsidRPr="00BC35DD">
              <w:rPr>
                <w:rFonts w:ascii="Palatino Linotype" w:hAnsi="Palatino Linotype"/>
              </w:rPr>
              <w:t xml:space="preserve"> evaluators to arrange for additional observation opportunities to supplement informatio</w:t>
            </w:r>
            <w:r w:rsidR="00882CAD">
              <w:rPr>
                <w:rFonts w:ascii="Palatino Linotype" w:hAnsi="Palatino Linotype"/>
              </w:rPr>
              <w:t>n for their</w:t>
            </w:r>
            <w:r w:rsidRPr="00BC35DD">
              <w:rPr>
                <w:rFonts w:ascii="Palatino Linotype" w:hAnsi="Palatino Linotype"/>
              </w:rPr>
              <w:t xml:space="preserve"> final rating.</w:t>
            </w:r>
          </w:p>
          <w:p w14:paraId="2F38ECCF" w14:textId="5BDC0026" w:rsidR="00BC35DD" w:rsidRPr="00882CAD" w:rsidRDefault="00882CAD" w:rsidP="00BC35DD">
            <w:pPr>
              <w:pStyle w:val="NoSpacing"/>
              <w:numPr>
                <w:ilvl w:val="0"/>
                <w:numId w:val="24"/>
              </w:numPr>
              <w:ind w:left="432"/>
              <w:rPr>
                <w:rFonts w:ascii="Times New Roman" w:hAnsi="Times New Roman" w:cs="Times New Roman"/>
              </w:rPr>
            </w:pPr>
            <w:r w:rsidRPr="00882CAD">
              <w:rPr>
                <w:rFonts w:ascii="Palatino Linotype" w:hAnsi="Palatino Linotype"/>
              </w:rPr>
              <w:t>Teachers may request additional observations within three (3) days of being informed of their preliminary performance rating, and have until May 15th to provide additional artifacts and evidence if they so choose.</w:t>
            </w:r>
          </w:p>
        </w:tc>
      </w:tr>
      <w:tr w:rsidR="00BC35DD" w:rsidRPr="00BC35DD" w14:paraId="682842F4" w14:textId="77777777" w:rsidTr="004C45FA">
        <w:trPr>
          <w:trHeight w:val="180"/>
        </w:trPr>
        <w:tc>
          <w:tcPr>
            <w:tcW w:w="3060" w:type="dxa"/>
          </w:tcPr>
          <w:p w14:paraId="2A592811" w14:textId="77777777" w:rsidR="00BC35DD" w:rsidRPr="00BC35DD" w:rsidRDefault="00BC35DD" w:rsidP="003315CB">
            <w:pPr>
              <w:rPr>
                <w:rFonts w:ascii="Palatino Linotype" w:hAnsi="Palatino Linotype"/>
                <w:b/>
                <w:color w:val="FF0000"/>
                <w:szCs w:val="22"/>
              </w:rPr>
            </w:pPr>
          </w:p>
          <w:p w14:paraId="3962D849" w14:textId="77777777" w:rsidR="00BC35DD" w:rsidRPr="00BC35DD" w:rsidRDefault="00BC35DD" w:rsidP="003315CB">
            <w:pPr>
              <w:rPr>
                <w:rFonts w:ascii="Palatino Linotype" w:hAnsi="Palatino Linotype"/>
                <w:b/>
                <w:color w:val="FF0000"/>
                <w:szCs w:val="22"/>
              </w:rPr>
            </w:pPr>
            <w:r w:rsidRPr="004C45FA">
              <w:rPr>
                <w:rFonts w:ascii="Palatino Linotype" w:hAnsi="Palatino Linotype"/>
                <w:b/>
                <w:color w:val="FF0000"/>
                <w:sz w:val="22"/>
                <w:szCs w:val="22"/>
              </w:rPr>
              <w:t>June 1st</w:t>
            </w:r>
            <w:r w:rsidRPr="00BC35DD">
              <w:rPr>
                <w:rFonts w:ascii="Palatino Linotype" w:hAnsi="Palatino Linotype"/>
                <w:b/>
                <w:color w:val="FF0000"/>
                <w:szCs w:val="22"/>
              </w:rPr>
              <w:t xml:space="preserve"> </w:t>
            </w:r>
          </w:p>
        </w:tc>
        <w:tc>
          <w:tcPr>
            <w:tcW w:w="7020" w:type="dxa"/>
          </w:tcPr>
          <w:p w14:paraId="201046A2" w14:textId="77777777" w:rsidR="00BC35DD" w:rsidRPr="00BC35DD" w:rsidRDefault="00BC35DD" w:rsidP="003315CB">
            <w:pPr>
              <w:pStyle w:val="NoSpacing"/>
              <w:rPr>
                <w:rFonts w:ascii="Palatino Linotype" w:hAnsi="Palatino Linotype"/>
                <w:b/>
                <w:u w:val="single"/>
              </w:rPr>
            </w:pPr>
            <w:r w:rsidRPr="00BC35DD">
              <w:rPr>
                <w:rFonts w:ascii="Palatino Linotype" w:hAnsi="Palatino Linotype"/>
                <w:b/>
                <w:u w:val="single"/>
              </w:rPr>
              <w:t>Final Summative Communication</w:t>
            </w:r>
          </w:p>
          <w:p w14:paraId="2B726DB9"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The evaluator will submit to the teacher a copy of the final evaluation no later than June 1</w:t>
            </w:r>
            <w:r w:rsidRPr="00BC35DD">
              <w:rPr>
                <w:rFonts w:ascii="Palatino Linotype" w:hAnsi="Palatino Linotype"/>
                <w:vertAlign w:val="superscript"/>
              </w:rPr>
              <w:t>st</w:t>
            </w:r>
            <w:r w:rsidRPr="00BC35DD">
              <w:rPr>
                <w:rFonts w:ascii="Palatino Linotype" w:hAnsi="Palatino Linotype"/>
              </w:rPr>
              <w:t>.  Either party may request a meeting to review the evaluation.</w:t>
            </w:r>
          </w:p>
          <w:p w14:paraId="5FE826E0" w14:textId="77777777" w:rsidR="00BC35DD" w:rsidRPr="00BC35DD" w:rsidRDefault="00BC35DD" w:rsidP="00BC35DD">
            <w:pPr>
              <w:pStyle w:val="NoSpacing"/>
              <w:numPr>
                <w:ilvl w:val="0"/>
                <w:numId w:val="24"/>
              </w:numPr>
              <w:ind w:left="432"/>
              <w:rPr>
                <w:rFonts w:ascii="Palatino Linotype" w:hAnsi="Palatino Linotype"/>
              </w:rPr>
            </w:pPr>
            <w:r w:rsidRPr="00BC35DD">
              <w:rPr>
                <w:rFonts w:ascii="Palatino Linotype" w:hAnsi="Palatino Linotype"/>
              </w:rPr>
              <w:t>The teacher will sign one (1) original evaluation form for his/her personnel file and be given a copy.</w:t>
            </w:r>
          </w:p>
        </w:tc>
      </w:tr>
    </w:tbl>
    <w:p w14:paraId="6B9D73D6" w14:textId="77777777" w:rsidR="00BC35DD" w:rsidRDefault="00BC35DD" w:rsidP="00BC35DD"/>
    <w:p w14:paraId="00C7A020" w14:textId="57D400CC" w:rsidR="0036235A" w:rsidRPr="00BC35DD" w:rsidRDefault="0036235A" w:rsidP="00BC35DD"/>
    <w:sectPr w:rsidR="0036235A" w:rsidRPr="00BC35DD" w:rsidSect="00993668">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AF3B" w14:textId="77777777" w:rsidR="00F01631" w:rsidRDefault="00F01631" w:rsidP="00F01631">
      <w:r>
        <w:separator/>
      </w:r>
    </w:p>
  </w:endnote>
  <w:endnote w:type="continuationSeparator" w:id="0">
    <w:p w14:paraId="60966F74" w14:textId="77777777" w:rsidR="00F01631" w:rsidRDefault="00F01631" w:rsidP="00F0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2DCB" w14:textId="77777777" w:rsidR="00F01631" w:rsidRDefault="00F01631" w:rsidP="00F01631">
      <w:r>
        <w:separator/>
      </w:r>
    </w:p>
  </w:footnote>
  <w:footnote w:type="continuationSeparator" w:id="0">
    <w:p w14:paraId="66D9AF4F" w14:textId="77777777" w:rsidR="00F01631" w:rsidRDefault="00F01631" w:rsidP="00F0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9F7"/>
    <w:multiLevelType w:val="hybridMultilevel"/>
    <w:tmpl w:val="D936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3E0"/>
    <w:multiLevelType w:val="hybridMultilevel"/>
    <w:tmpl w:val="6DB6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EAE"/>
    <w:multiLevelType w:val="hybridMultilevel"/>
    <w:tmpl w:val="9B544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306C18"/>
    <w:multiLevelType w:val="multilevel"/>
    <w:tmpl w:val="328ECDAA"/>
    <w:lvl w:ilvl="0">
      <w:start w:val="2013"/>
      <w:numFmt w:val="decimal"/>
      <w:lvlText w:val="%1"/>
      <w:lvlJc w:val="left"/>
      <w:pPr>
        <w:ind w:left="1005" w:hanging="1005"/>
      </w:pPr>
      <w:rPr>
        <w:rFonts w:hint="default"/>
      </w:rPr>
    </w:lvl>
    <w:lvl w:ilvl="1">
      <w:start w:val="2014"/>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200B3"/>
    <w:multiLevelType w:val="hybridMultilevel"/>
    <w:tmpl w:val="101437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76684"/>
    <w:multiLevelType w:val="hybridMultilevel"/>
    <w:tmpl w:val="3EE2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4933"/>
    <w:multiLevelType w:val="hybridMultilevel"/>
    <w:tmpl w:val="CC1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66B4F"/>
    <w:multiLevelType w:val="hybridMultilevel"/>
    <w:tmpl w:val="F75C1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E30BB"/>
    <w:multiLevelType w:val="hybridMultilevel"/>
    <w:tmpl w:val="5E62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D385F"/>
    <w:multiLevelType w:val="hybridMultilevel"/>
    <w:tmpl w:val="2E6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0FA1"/>
    <w:multiLevelType w:val="hybridMultilevel"/>
    <w:tmpl w:val="6B7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E7FDF"/>
    <w:multiLevelType w:val="hybridMultilevel"/>
    <w:tmpl w:val="CF6C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72789"/>
    <w:multiLevelType w:val="hybridMultilevel"/>
    <w:tmpl w:val="D96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73E5E"/>
    <w:multiLevelType w:val="hybridMultilevel"/>
    <w:tmpl w:val="5EB2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B6143"/>
    <w:multiLevelType w:val="hybridMultilevel"/>
    <w:tmpl w:val="246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1B98"/>
    <w:multiLevelType w:val="hybridMultilevel"/>
    <w:tmpl w:val="546AEA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D3867"/>
    <w:multiLevelType w:val="hybridMultilevel"/>
    <w:tmpl w:val="F0523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16020A"/>
    <w:multiLevelType w:val="hybridMultilevel"/>
    <w:tmpl w:val="C0E4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D49D7"/>
    <w:multiLevelType w:val="hybridMultilevel"/>
    <w:tmpl w:val="F288F954"/>
    <w:lvl w:ilvl="0" w:tplc="80084F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B2111"/>
    <w:multiLevelType w:val="hybridMultilevel"/>
    <w:tmpl w:val="7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00BA4"/>
    <w:multiLevelType w:val="hybridMultilevel"/>
    <w:tmpl w:val="84F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B2FA5"/>
    <w:multiLevelType w:val="hybridMultilevel"/>
    <w:tmpl w:val="FE8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44625"/>
    <w:multiLevelType w:val="hybridMultilevel"/>
    <w:tmpl w:val="967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D6B44"/>
    <w:multiLevelType w:val="hybridMultilevel"/>
    <w:tmpl w:val="B674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num>
  <w:num w:numId="4">
    <w:abstractNumId w:val="15"/>
  </w:num>
  <w:num w:numId="5">
    <w:abstractNumId w:val="3"/>
  </w:num>
  <w:num w:numId="6">
    <w:abstractNumId w:val="11"/>
  </w:num>
  <w:num w:numId="7">
    <w:abstractNumId w:val="16"/>
  </w:num>
  <w:num w:numId="8">
    <w:abstractNumId w:val="0"/>
  </w:num>
  <w:num w:numId="9">
    <w:abstractNumId w:val="22"/>
  </w:num>
  <w:num w:numId="10">
    <w:abstractNumId w:val="7"/>
  </w:num>
  <w:num w:numId="11">
    <w:abstractNumId w:val="1"/>
  </w:num>
  <w:num w:numId="12">
    <w:abstractNumId w:val="13"/>
  </w:num>
  <w:num w:numId="13">
    <w:abstractNumId w:val="5"/>
  </w:num>
  <w:num w:numId="14">
    <w:abstractNumId w:val="23"/>
  </w:num>
  <w:num w:numId="15">
    <w:abstractNumId w:val="14"/>
  </w:num>
  <w:num w:numId="16">
    <w:abstractNumId w:val="21"/>
  </w:num>
  <w:num w:numId="17">
    <w:abstractNumId w:val="4"/>
  </w:num>
  <w:num w:numId="18">
    <w:abstractNumId w:val="2"/>
  </w:num>
  <w:num w:numId="19">
    <w:abstractNumId w:val="17"/>
  </w:num>
  <w:num w:numId="20">
    <w:abstractNumId w:val="12"/>
  </w:num>
  <w:num w:numId="21">
    <w:abstractNumId w:val="10"/>
  </w:num>
  <w:num w:numId="22">
    <w:abstractNumId w:val="19"/>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zMjc1MjExMjC0NDJU0lEKTi0uzszPAykwrAUAFBAy6SwAAAA="/>
  </w:docVars>
  <w:rsids>
    <w:rsidRoot w:val="00284BF6"/>
    <w:rsid w:val="000052DD"/>
    <w:rsid w:val="0000573C"/>
    <w:rsid w:val="0003536D"/>
    <w:rsid w:val="0004056F"/>
    <w:rsid w:val="000D163B"/>
    <w:rsid w:val="000F2DC4"/>
    <w:rsid w:val="00133445"/>
    <w:rsid w:val="0013404E"/>
    <w:rsid w:val="00170A4C"/>
    <w:rsid w:val="00181F01"/>
    <w:rsid w:val="001853D0"/>
    <w:rsid w:val="0019096B"/>
    <w:rsid w:val="00191988"/>
    <w:rsid w:val="0019576E"/>
    <w:rsid w:val="001A4603"/>
    <w:rsid w:val="001F3D4B"/>
    <w:rsid w:val="001F4DBD"/>
    <w:rsid w:val="00284BF6"/>
    <w:rsid w:val="002C52EB"/>
    <w:rsid w:val="002D6591"/>
    <w:rsid w:val="003333E6"/>
    <w:rsid w:val="00350B7C"/>
    <w:rsid w:val="00360430"/>
    <w:rsid w:val="0036235A"/>
    <w:rsid w:val="0037270C"/>
    <w:rsid w:val="003A6972"/>
    <w:rsid w:val="003B441B"/>
    <w:rsid w:val="003C4130"/>
    <w:rsid w:val="003C4D20"/>
    <w:rsid w:val="003D5166"/>
    <w:rsid w:val="004408F9"/>
    <w:rsid w:val="00442945"/>
    <w:rsid w:val="004473AF"/>
    <w:rsid w:val="00456A90"/>
    <w:rsid w:val="0049764C"/>
    <w:rsid w:val="004B1DC7"/>
    <w:rsid w:val="004C26B8"/>
    <w:rsid w:val="004C45FA"/>
    <w:rsid w:val="004C5326"/>
    <w:rsid w:val="004D10F6"/>
    <w:rsid w:val="004E0EC5"/>
    <w:rsid w:val="004E1FB2"/>
    <w:rsid w:val="004E43D7"/>
    <w:rsid w:val="004F7430"/>
    <w:rsid w:val="00505D8A"/>
    <w:rsid w:val="00520C16"/>
    <w:rsid w:val="00563751"/>
    <w:rsid w:val="005A559E"/>
    <w:rsid w:val="005D76D2"/>
    <w:rsid w:val="00630461"/>
    <w:rsid w:val="00662050"/>
    <w:rsid w:val="00673383"/>
    <w:rsid w:val="0068203F"/>
    <w:rsid w:val="00684113"/>
    <w:rsid w:val="006A6E2E"/>
    <w:rsid w:val="006F4264"/>
    <w:rsid w:val="007550D0"/>
    <w:rsid w:val="007578BD"/>
    <w:rsid w:val="007633CB"/>
    <w:rsid w:val="00796C94"/>
    <w:rsid w:val="007E1F90"/>
    <w:rsid w:val="00882CAD"/>
    <w:rsid w:val="008B0C81"/>
    <w:rsid w:val="008D13F2"/>
    <w:rsid w:val="008E6318"/>
    <w:rsid w:val="009107B6"/>
    <w:rsid w:val="009474F8"/>
    <w:rsid w:val="00954145"/>
    <w:rsid w:val="00962707"/>
    <w:rsid w:val="0096410A"/>
    <w:rsid w:val="00972403"/>
    <w:rsid w:val="009777D6"/>
    <w:rsid w:val="00993668"/>
    <w:rsid w:val="009D59DD"/>
    <w:rsid w:val="00A54CDA"/>
    <w:rsid w:val="00A73508"/>
    <w:rsid w:val="00A76F6A"/>
    <w:rsid w:val="00B1394B"/>
    <w:rsid w:val="00B37D55"/>
    <w:rsid w:val="00B83C07"/>
    <w:rsid w:val="00BC35DD"/>
    <w:rsid w:val="00BE1855"/>
    <w:rsid w:val="00C07E2D"/>
    <w:rsid w:val="00C35625"/>
    <w:rsid w:val="00C70BE3"/>
    <w:rsid w:val="00C77748"/>
    <w:rsid w:val="00C80D13"/>
    <w:rsid w:val="00C9785C"/>
    <w:rsid w:val="00CD5E80"/>
    <w:rsid w:val="00CE473B"/>
    <w:rsid w:val="00D06C0A"/>
    <w:rsid w:val="00D20448"/>
    <w:rsid w:val="00D61F7D"/>
    <w:rsid w:val="00DA7C87"/>
    <w:rsid w:val="00DF0020"/>
    <w:rsid w:val="00E35D4C"/>
    <w:rsid w:val="00E93A20"/>
    <w:rsid w:val="00E95340"/>
    <w:rsid w:val="00EC5D15"/>
    <w:rsid w:val="00F01631"/>
    <w:rsid w:val="00F8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CCFF"/>
  <w15:docId w15:val="{9963B856-EB53-471E-BD73-FFA7EDE6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8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35DD"/>
    <w:pPr>
      <w:keepNext/>
      <w:keepLines/>
      <w:spacing w:before="360"/>
      <w:jc w:val="center"/>
      <w:outlineLvl w:val="0"/>
    </w:pPr>
    <w:rPr>
      <w:rFonts w:asciiTheme="majorHAnsi" w:eastAsiaTheme="majorEastAsia" w:hAnsiTheme="majorHAnsi" w:cstheme="majorBidi"/>
      <w:bCs/>
      <w:i/>
      <w:color w:val="4F81BD" w:themeColor="accent1"/>
      <w:sz w:val="32"/>
      <w:szCs w:val="32"/>
    </w:rPr>
  </w:style>
  <w:style w:type="paragraph" w:styleId="Heading2">
    <w:name w:val="heading 2"/>
    <w:basedOn w:val="Normal"/>
    <w:next w:val="Normal"/>
    <w:link w:val="Heading2Char"/>
    <w:uiPriority w:val="9"/>
    <w:unhideWhenUsed/>
    <w:qFormat/>
    <w:rsid w:val="000057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4BF6"/>
    <w:pPr>
      <w:spacing w:after="0" w:line="240" w:lineRule="auto"/>
    </w:pPr>
  </w:style>
  <w:style w:type="paragraph" w:styleId="ListParagraph">
    <w:name w:val="List Paragraph"/>
    <w:basedOn w:val="Normal"/>
    <w:uiPriority w:val="34"/>
    <w:qFormat/>
    <w:rsid w:val="0049764C"/>
    <w:pPr>
      <w:ind w:left="720"/>
      <w:contextualSpacing/>
    </w:pPr>
  </w:style>
  <w:style w:type="paragraph" w:styleId="Header">
    <w:name w:val="header"/>
    <w:basedOn w:val="Normal"/>
    <w:link w:val="HeaderChar"/>
    <w:uiPriority w:val="99"/>
    <w:unhideWhenUsed/>
    <w:rsid w:val="00F01631"/>
    <w:pPr>
      <w:tabs>
        <w:tab w:val="center" w:pos="4680"/>
        <w:tab w:val="right" w:pos="9360"/>
      </w:tabs>
    </w:pPr>
  </w:style>
  <w:style w:type="character" w:customStyle="1" w:styleId="HeaderChar">
    <w:name w:val="Header Char"/>
    <w:basedOn w:val="DefaultParagraphFont"/>
    <w:link w:val="Header"/>
    <w:uiPriority w:val="99"/>
    <w:rsid w:val="00F01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631"/>
    <w:pPr>
      <w:tabs>
        <w:tab w:val="center" w:pos="4680"/>
        <w:tab w:val="right" w:pos="9360"/>
      </w:tabs>
    </w:pPr>
  </w:style>
  <w:style w:type="character" w:customStyle="1" w:styleId="FooterChar">
    <w:name w:val="Footer Char"/>
    <w:basedOn w:val="DefaultParagraphFont"/>
    <w:link w:val="Footer"/>
    <w:uiPriority w:val="99"/>
    <w:rsid w:val="00F016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D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C35DD"/>
    <w:rPr>
      <w:rFonts w:asciiTheme="majorHAnsi" w:eastAsiaTheme="majorEastAsia" w:hAnsiTheme="majorHAnsi" w:cstheme="majorBidi"/>
      <w:bCs/>
      <w:i/>
      <w:color w:val="4F81BD" w:themeColor="accent1"/>
      <w:sz w:val="32"/>
      <w:szCs w:val="32"/>
    </w:rPr>
  </w:style>
  <w:style w:type="character" w:customStyle="1" w:styleId="NoSpacingChar">
    <w:name w:val="No Spacing Char"/>
    <w:basedOn w:val="DefaultParagraphFont"/>
    <w:link w:val="NoSpacing"/>
    <w:uiPriority w:val="1"/>
    <w:rsid w:val="00BC35DD"/>
  </w:style>
  <w:style w:type="character" w:customStyle="1" w:styleId="Heading2Char">
    <w:name w:val="Heading 2 Char"/>
    <w:basedOn w:val="DefaultParagraphFont"/>
    <w:link w:val="Heading2"/>
    <w:uiPriority w:val="9"/>
    <w:rsid w:val="000057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56B6-0B2B-431D-BF97-ADE3D678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ops</dc:creator>
  <cp:lastModifiedBy>Vicki Trainor</cp:lastModifiedBy>
  <cp:revision>6</cp:revision>
  <cp:lastPrinted>2021-09-29T22:06:00Z</cp:lastPrinted>
  <dcterms:created xsi:type="dcterms:W3CDTF">2019-06-12T21:12:00Z</dcterms:created>
  <dcterms:modified xsi:type="dcterms:W3CDTF">2021-09-29T22:08:00Z</dcterms:modified>
</cp:coreProperties>
</file>